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46E" w:rsidRDefault="0022646E" w:rsidP="0022646E">
      <w:pPr>
        <w:rPr>
          <w:rFonts w:ascii="Century Schoolbook" w:hAnsi="Century Schoolbook"/>
          <w:b/>
          <w:color w:val="000000" w:themeColor="text1"/>
          <w:u w:val="single"/>
        </w:rPr>
      </w:pPr>
      <w:r>
        <w:rPr>
          <w:rFonts w:ascii="Century Schoolbook" w:hAnsi="Century Schoolbook"/>
          <w:b/>
          <w:color w:val="000000" w:themeColor="text1"/>
          <w:u w:val="single"/>
        </w:rPr>
        <w:t>Show Don’t Tell</w:t>
      </w:r>
    </w:p>
    <w:p w:rsidR="0022646E" w:rsidRDefault="0022646E" w:rsidP="0022646E">
      <w:p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One of the best ways for students to learn vocabulary is to associate each new word with a visual or movement.  This is a great tool for those visual/spatial and bodily/kinesthetic learners.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Give each student a list that shows the vocabulary words the class is studying and the definitions for those words.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Give each student an index card with one of the words on it, plus a large piece of paper and a bunch of markers in assorted on her card.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The students should draw a picture of their word and then figure out a way to act out that word.  Explain that each child needs to do this without showing the word on their card.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Each student comes to the front of the room, show the class the picture and acts out their word. Ex:  The word is “collaborate” means “to work together”. A student might draw puzzle pieces fitting together and the action might be shaking hands.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The other students need to guess the word. Once they have figured it out, all the students repeat the action.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Each time a student comes to the front and acts out a word, follow up by leading the class in a review of all the words presented so far. Say and act out the word.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Collect all pictures at the end of the session.</w:t>
      </w:r>
    </w:p>
    <w:p w:rsidR="0022646E" w:rsidRDefault="0022646E" w:rsidP="0022646E">
      <w:pPr>
        <w:pStyle w:val="ListParagraph"/>
        <w:numPr>
          <w:ilvl w:val="0"/>
          <w:numId w:val="1"/>
        </w:numPr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As a quick review periodically, show each picture and have students act out the word associated with that picture.</w:t>
      </w:r>
    </w:p>
    <w:p w:rsidR="0022646E" w:rsidRDefault="0022646E" w:rsidP="0022646E">
      <w:pPr>
        <w:pStyle w:val="ListParagraph"/>
        <w:rPr>
          <w:rFonts w:ascii="Century Schoolbook" w:hAnsi="Century Schoolbook"/>
          <w:color w:val="000000" w:themeColor="text1"/>
        </w:rPr>
      </w:pPr>
    </w:p>
    <w:p w:rsidR="0022646E" w:rsidRDefault="0022646E" w:rsidP="0022646E">
      <w:pPr>
        <w:pStyle w:val="ListParagraph"/>
        <w:rPr>
          <w:rFonts w:ascii="Century Schoolbook" w:hAnsi="Century Schoolbook"/>
          <w:color w:val="000000" w:themeColor="text1"/>
        </w:rPr>
      </w:pPr>
    </w:p>
    <w:p w:rsidR="0022646E" w:rsidRDefault="0022646E" w:rsidP="0022646E">
      <w:pPr>
        <w:pStyle w:val="ListParagraph"/>
        <w:rPr>
          <w:rFonts w:ascii="Century Schoolbook" w:hAnsi="Century Schoolbook"/>
          <w:color w:val="000000" w:themeColor="text1"/>
        </w:rPr>
      </w:pPr>
      <w:r>
        <w:rPr>
          <w:rFonts w:ascii="Century Schoolbook" w:hAnsi="Century Schoolbook"/>
          <w:color w:val="000000" w:themeColor="text1"/>
        </w:rPr>
        <w:t>By offering your students multiple pathways to success, you’ve opened up the learning process to a much wider range of learners.</w:t>
      </w:r>
    </w:p>
    <w:p w:rsidR="0022646E" w:rsidRDefault="0022646E" w:rsidP="0022646E">
      <w:pPr>
        <w:rPr>
          <w:rFonts w:ascii="Century Schoolbook" w:hAnsi="Century Schoolbook"/>
          <w:color w:val="000000" w:themeColor="text1"/>
        </w:rPr>
      </w:pPr>
    </w:p>
    <w:p w:rsidR="001063E8" w:rsidRDefault="0022646E">
      <w:r w:rsidRPr="0022646E">
        <w:drawing>
          <wp:inline distT="0" distB="0" distL="0" distR="0">
            <wp:extent cx="4400550" cy="2609850"/>
            <wp:effectExtent l="19050" t="0" r="0" b="0"/>
            <wp:docPr id="101" name="Picture 101" descr="C:\Documents and Settings\danielle.jamieson\Local Settings\Temporary Internet Files\Content.IE5\GGG9975L\MPj0438552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Documents and Settings\danielle.jamieson\Local Settings\Temporary Internet Files\Content.IE5\GGG9975L\MPj0438552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00637"/>
    <w:multiLevelType w:val="hybridMultilevel"/>
    <w:tmpl w:val="5DE6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22646E"/>
    <w:rsid w:val="0022646E"/>
    <w:rsid w:val="00346CE4"/>
    <w:rsid w:val="00561107"/>
    <w:rsid w:val="008B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4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4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4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>SWSD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2012-07-09T03:23:00Z</dcterms:created>
  <dcterms:modified xsi:type="dcterms:W3CDTF">2012-07-09T03:24:00Z</dcterms:modified>
</cp:coreProperties>
</file>